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6" w:rsidRP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E7766">
        <w:rPr>
          <w:b/>
          <w:caps/>
          <w:sz w:val="28"/>
          <w:szCs w:val="28"/>
        </w:rPr>
        <w:t>Аннотация</w:t>
      </w:r>
    </w:p>
    <w:p w:rsidR="004E7766" w:rsidRP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ОП.03 гигиенические основы фк и спорта</w:t>
      </w:r>
    </w:p>
    <w:p w:rsidR="004E7766" w:rsidRP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4E7766" w:rsidRP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E7766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4E7766" w:rsidRP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rPr>
          <w:i/>
          <w:sz w:val="20"/>
          <w:szCs w:val="20"/>
        </w:rPr>
      </w:pPr>
      <w:r w:rsidRPr="004E7766">
        <w:rPr>
          <w:i/>
          <w:sz w:val="20"/>
          <w:szCs w:val="20"/>
        </w:rPr>
        <w:t xml:space="preserve">                              </w:t>
      </w: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Область применения программы</w:t>
      </w:r>
    </w:p>
    <w:p w:rsidR="004E7766" w:rsidRDefault="004E7766" w:rsidP="004E776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программы подготовки специалистов среднего звена по специальности СПО  490201 Физическая культура.</w:t>
      </w:r>
    </w:p>
    <w:p w:rsidR="004E7766" w:rsidRDefault="004E7766" w:rsidP="004E776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66" w:rsidRDefault="004E7766" w:rsidP="004E776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Место дисциплины в структуре программы подготовки специалистов среднего звена: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профессиональный цикл, общепрофессиональные дисциплины (ОП.03)</w:t>
      </w:r>
    </w:p>
    <w:p w:rsidR="004E7766" w:rsidRDefault="004E7766" w:rsidP="004E776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Цели и задачи учебной дисциплины –</w:t>
      </w:r>
      <w:r>
        <w:rPr>
          <w:sz w:val="28"/>
          <w:szCs w:val="28"/>
        </w:rPr>
        <w:t xml:space="preserve"> требования к результатам освоения дисциплины:</w:t>
      </w: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режим суточной активности с учетом возраста и характера физических нагрузок;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суточный расход энергии, составлять меню;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соблюдение гигиенических требований при подготовке спортсменов;</w:t>
      </w:r>
    </w:p>
    <w:p w:rsidR="004E7766" w:rsidRDefault="004E7766" w:rsidP="004E77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гигиены различных возрастных групп занимающихся;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медицинской группы;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гигиеническое значение биологических факторов внешней среды при занятиях физической культурой;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вспомогательные гигиенические средства восстановления и повышения работоспособности;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профилактики инфекционных заболеваний;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гигиены питания различных возрастных групп занимающихся;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гигиена физической культуры при проведении занятий на производстве и по месту жительства;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гигиенические требования к спортивным сооружениям и оборудованию мест учебно-тренировочных занятий;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гигиеническую характеристику основных форм занятий физической культурой и спортом различных возрастных групп занимающихся;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основы личной гигиены при занятиях физическими упражнениями, спортом;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гигиеническое обеспечение подготовки спортсменов;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гигиенические основы закаливания;</w:t>
      </w:r>
    </w:p>
    <w:p w:rsidR="004E7766" w:rsidRDefault="004E7766" w:rsidP="004E7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физиолого-гигиенические и социальные аспекты курения,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токсикомании;</w:t>
      </w: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понятие о двигательной активности человека, ее нормирование и поддержание оптимального уровня у различных возрастных групп населения</w:t>
      </w: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0" w:name="sub_10511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1" w:name="sub_10512"/>
      <w:bookmarkEnd w:id="0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2" w:name="sub_10513"/>
      <w:bookmarkEnd w:id="1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3" w:name="sub_10514"/>
      <w:bookmarkEnd w:id="2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4" w:name="sub_10515"/>
      <w:bookmarkEnd w:id="3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5" w:name="sub_10516"/>
      <w:bookmarkEnd w:id="4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6" w:name="sub_10517"/>
      <w:bookmarkEnd w:id="5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7" w:name="sub_10518"/>
      <w:bookmarkEnd w:id="6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8" w:name="sub_10519"/>
      <w:bookmarkEnd w:id="7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9" w:name="sub_15110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.</w:t>
      </w:r>
      <w:bookmarkEnd w:id="9"/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10" w:name="sub_15111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 Строить профессиональную деятельность с соблюдением правовых норм, ее регулирующих.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11" w:name="sub_15215"/>
      <w:r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12" w:name="sub_15217"/>
      <w:bookmarkEnd w:id="11"/>
      <w:r>
        <w:rPr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13" w:name="sub_15222"/>
      <w:r>
        <w:rPr>
          <w:sz w:val="28"/>
          <w:szCs w:val="28"/>
        </w:rPr>
        <w:t>ПК 2.2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Мотивировать население различных возрастных групп к участию в физкультурно-спортивной деятельности.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14" w:name="sub_15225"/>
      <w:bookmarkEnd w:id="12"/>
      <w:bookmarkEnd w:id="13"/>
      <w:r>
        <w:rPr>
          <w:sz w:val="28"/>
          <w:szCs w:val="28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bookmarkEnd w:id="14"/>
    <w:p w:rsidR="004E7766" w:rsidRDefault="004E7766" w:rsidP="004E7766">
      <w:pPr>
        <w:ind w:firstLine="720"/>
        <w:jc w:val="both"/>
        <w:rPr>
          <w:sz w:val="28"/>
          <w:szCs w:val="28"/>
        </w:rPr>
      </w:pP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bookmarkStart w:id="15" w:name="sub_15234"/>
      <w:bookmarkEnd w:id="10"/>
      <w:r>
        <w:rPr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3.4. Оформлять методические разработки в виде отчетов, рефератов, выступлений.</w:t>
      </w:r>
      <w:bookmarkEnd w:id="8"/>
      <w:bookmarkEnd w:id="15"/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освоения дисциплины должны формироваться следующие личностные результаты:</w:t>
      </w: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21.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сознательное отношение к спортивной деятельности, соблюдающий  </w:t>
      </w:r>
      <w:r>
        <w:rPr>
          <w:sz w:val="28"/>
          <w:szCs w:val="28"/>
          <w:lang w:val="en-US"/>
        </w:rPr>
        <w:t>FAIRPLAY</w:t>
      </w:r>
      <w:r>
        <w:rPr>
          <w:sz w:val="28"/>
          <w:szCs w:val="28"/>
        </w:rPr>
        <w:t>-кодекс спортивной чести.</w:t>
      </w:r>
    </w:p>
    <w:p w:rsidR="004E7766" w:rsidRDefault="004E7766" w:rsidP="004E7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ЛР 22. Проявляющий сознательное отношение к своему здоровью в рамках спортивной деятельности, ведущий здоровый образ жизни, соблюдающий антидопинговые правила.</w:t>
      </w:r>
    </w:p>
    <w:p w:rsidR="004E7766" w:rsidRDefault="004E7766" w:rsidP="004E7766">
      <w:pPr>
        <w:ind w:firstLine="720"/>
        <w:jc w:val="both"/>
        <w:rPr>
          <w:sz w:val="28"/>
          <w:szCs w:val="28"/>
        </w:rPr>
      </w:pPr>
    </w:p>
    <w:p w:rsidR="004E7766" w:rsidRDefault="004E7766" w:rsidP="004E7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23. </w:t>
      </w:r>
      <w:proofErr w:type="gramStart"/>
      <w:r>
        <w:rPr>
          <w:sz w:val="28"/>
          <w:szCs w:val="28"/>
        </w:rPr>
        <w:t>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  <w:proofErr w:type="gramEnd"/>
    </w:p>
    <w:p w:rsidR="004E7766" w:rsidRDefault="004E7766" w:rsidP="004E7766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4E7766" w:rsidRDefault="004E7766" w:rsidP="004E7766">
      <w:pPr>
        <w:jc w:val="both"/>
        <w:rPr>
          <w:sz w:val="28"/>
          <w:szCs w:val="28"/>
        </w:rPr>
      </w:pPr>
      <w:r>
        <w:rPr>
          <w:sz w:val="28"/>
          <w:szCs w:val="28"/>
        </w:rPr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4E7766" w:rsidRDefault="004E7766" w:rsidP="004E7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4E7766" w:rsidRDefault="004E7766" w:rsidP="004E7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Рекомендуемое количество часов на освоение учебной дисциплины:</w:t>
      </w:r>
    </w:p>
    <w:p w:rsidR="004E7766" w:rsidRDefault="004E7766" w:rsidP="004E7766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70 часов, в том числе: обязательной аудиторной учебной нагрузки обучающегося 48 часов; </w:t>
      </w:r>
      <w:r>
        <w:rPr>
          <w:color w:val="0000FF"/>
          <w:sz w:val="28"/>
          <w:szCs w:val="28"/>
        </w:rPr>
        <w:t>самостоятельной работы обучающегося 22 часов.</w:t>
      </w:r>
    </w:p>
    <w:p w:rsidR="004E7766" w:rsidRDefault="004E7766" w:rsidP="004E7766">
      <w:pPr>
        <w:jc w:val="both"/>
        <w:rPr>
          <w:color w:val="0000FF"/>
          <w:sz w:val="28"/>
          <w:szCs w:val="28"/>
        </w:rPr>
      </w:pPr>
    </w:p>
    <w:p w:rsidR="004E7766" w:rsidRDefault="004E7766" w:rsidP="004E7766">
      <w:pPr>
        <w:jc w:val="both"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b/>
          <w:color w:val="0000FF"/>
          <w:sz w:val="28"/>
          <w:szCs w:val="28"/>
        </w:rPr>
        <w:t xml:space="preserve">Преподаватель: </w:t>
      </w:r>
      <w:proofErr w:type="spellStart"/>
      <w:r>
        <w:rPr>
          <w:b/>
          <w:color w:val="0000FF"/>
          <w:sz w:val="28"/>
          <w:szCs w:val="28"/>
        </w:rPr>
        <w:t>Стасюк</w:t>
      </w:r>
      <w:proofErr w:type="spellEnd"/>
      <w:r>
        <w:rPr>
          <w:b/>
          <w:color w:val="0000FF"/>
          <w:sz w:val="28"/>
          <w:szCs w:val="28"/>
        </w:rPr>
        <w:t xml:space="preserve"> О.Н.</w:t>
      </w:r>
    </w:p>
    <w:p w:rsidR="004E7766" w:rsidRPr="004E7766" w:rsidRDefault="004E7766" w:rsidP="004E7766">
      <w:pPr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Форма промежуточной аттестации: дифференцированный зачёт</w:t>
      </w:r>
    </w:p>
    <w:p w:rsidR="001228E4" w:rsidRDefault="001228E4">
      <w:bookmarkStart w:id="16" w:name="_GoBack"/>
      <w:bookmarkEnd w:id="16"/>
    </w:p>
    <w:sectPr w:rsidR="0012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B"/>
    <w:rsid w:val="001228E4"/>
    <w:rsid w:val="004E7766"/>
    <w:rsid w:val="00C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E776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E776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2023-03-28T02:40:00Z</dcterms:created>
  <dcterms:modified xsi:type="dcterms:W3CDTF">2023-03-28T02:44:00Z</dcterms:modified>
</cp:coreProperties>
</file>