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B" w:rsidRDefault="007253AB" w:rsidP="00725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7253AB" w:rsidRDefault="007253AB" w:rsidP="007253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675A" wp14:editId="18F9C1B0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B" w:rsidRDefault="007253AB" w:rsidP="007253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253AB" w:rsidRDefault="007253AB" w:rsidP="007253A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7253AB" w:rsidRDefault="007253AB" w:rsidP="007253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7253AB" w:rsidRDefault="007253AB" w:rsidP="007253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902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902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7253AB" w:rsidRDefault="007253AB" w:rsidP="007253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253AB" w:rsidRDefault="007253AB" w:rsidP="007253AB">
                            <w:r>
                              <w:t>«___»._________.20___ г.</w:t>
                            </w:r>
                          </w:p>
                          <w:p w:rsidR="007253AB" w:rsidRDefault="007253AB" w:rsidP="007253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7253AB" w:rsidRDefault="007253AB" w:rsidP="007253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7253AB" w:rsidRDefault="007253AB" w:rsidP="007253A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7253AB" w:rsidRDefault="007253AB" w:rsidP="007253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7253AB" w:rsidRDefault="007253AB" w:rsidP="007253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90278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902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7253AB" w:rsidRDefault="007253AB" w:rsidP="007253AB">
                      <w:pPr>
                        <w:jc w:val="center"/>
                        <w:rPr>
                          <w:i/>
                        </w:rPr>
                      </w:pPr>
                    </w:p>
                    <w:p w:rsidR="007253AB" w:rsidRDefault="007253AB" w:rsidP="007253AB">
                      <w:r>
                        <w:t>«___»._________.20___ г.</w:t>
                      </w:r>
                    </w:p>
                    <w:p w:rsidR="007253AB" w:rsidRDefault="007253AB" w:rsidP="007253A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7253AB" w:rsidRDefault="007253AB" w:rsidP="0072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7253AB" w:rsidRDefault="007253AB" w:rsidP="0072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bookmarkStart w:id="0" w:name="_GoBack"/>
      <w:bookmarkEnd w:id="0"/>
    </w:p>
    <w:p w:rsidR="007253AB" w:rsidRDefault="007253AB" w:rsidP="00503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AB" w:rsidRDefault="0090278E" w:rsidP="00725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</w:t>
      </w:r>
      <w:r w:rsidR="007A2DCB">
        <w:rPr>
          <w:rFonts w:ascii="Times New Roman" w:hAnsi="Times New Roman" w:cs="Times New Roman"/>
          <w:sz w:val="28"/>
          <w:szCs w:val="28"/>
        </w:rPr>
        <w:t>20</w:t>
      </w:r>
      <w:r w:rsidR="007253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53AB" w:rsidRDefault="007253A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DCB" w:rsidRDefault="007A2DC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DCB" w:rsidRDefault="007A2DCB" w:rsidP="0072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Методист по учебной работе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Насибулина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CB" w:rsidRDefault="007A2DCB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CB" w:rsidRDefault="007A2DCB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7EC6" w:rsidRDefault="008A7EC6" w:rsidP="008A7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средств…………………..4</w:t>
      </w:r>
    </w:p>
    <w:p w:rsidR="008A7EC6" w:rsidRDefault="008A7EC6" w:rsidP="008A7E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8A7EC6" w:rsidRDefault="008A7EC6" w:rsidP="008A7E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8A7EC6" w:rsidRDefault="008A7EC6" w:rsidP="008A7E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ОПОП при освоении программы дисциплины………………………………………………….5</w:t>
      </w:r>
    </w:p>
    <w:p w:rsidR="008A7EC6" w:rsidRDefault="008A7EC6" w:rsidP="008A7E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умений ……………………………………………………………………..8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CB" w:rsidRDefault="007A2DCB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CB" w:rsidRDefault="007A2DCB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ППССЗ) по специальности СПО 49.02.01 Физическая культура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умения: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1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рганизовать и проводить мероприятия по защите работающих и населения от негативных воздействий чрезвычайных ситуаций;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2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3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спользовать средства индивидуальной и коллективной защиты от оружия массового поражения;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 4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рименять первичные средства пожаротушения;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5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риентироваться в перечне </w:t>
      </w:r>
      <w:proofErr w:type="spellStart"/>
      <w:r w:rsidRPr="008A7EC6">
        <w:rPr>
          <w:rFonts w:ascii="Times New Roman" w:hAnsi="Times New Roman" w:cs="Times New Roman"/>
          <w:sz w:val="28"/>
          <w:szCs w:val="28"/>
        </w:rPr>
        <w:t>военноучетных</w:t>
      </w:r>
      <w:proofErr w:type="spellEnd"/>
      <w:r w:rsidRPr="008A7EC6">
        <w:rPr>
          <w:rFonts w:ascii="Times New Roman" w:hAnsi="Times New Roman" w:cs="Times New Roman"/>
          <w:sz w:val="28"/>
          <w:szCs w:val="28"/>
        </w:rPr>
        <w:t xml:space="preserve">  специальностей и самостоятельно определять среди них родственные полученной специальности;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6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7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ладеть способами бесконфликтного общения и </w:t>
      </w:r>
      <w:proofErr w:type="spellStart"/>
      <w:r w:rsidRPr="008A7E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A7EC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У  8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казать первую помощь пострадавшим.</w:t>
      </w:r>
    </w:p>
    <w:p w:rsidR="008A7EC6" w:rsidRP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Освоенные знания: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З3 Основы военной службы и обороны государства;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Задачи и основные мероприятия гражданской обороны;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З5 Способы защиты населения от оружия массового поражения;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и правила безопасного поведения при пожарах;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З8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З10 Порядок и правила оказания первой помощи пострадавшим.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8A7EC6" w:rsidRPr="008A7EC6" w:rsidRDefault="008A7EC6" w:rsidP="008A7E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C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8A7EC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A7EC6">
        <w:rPr>
          <w:rFonts w:ascii="Times New Roman" w:hAnsi="Times New Roman" w:cs="Times New Roman"/>
          <w:sz w:val="28"/>
          <w:szCs w:val="28"/>
        </w:rPr>
        <w:t>.</w:t>
      </w:r>
      <w:bookmarkStart w:id="1" w:name="sub_15113"/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lastRenderedPageBreak/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EC6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  <w:bookmarkEnd w:id="1"/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Pr="008A7EC6" w:rsidRDefault="008A7EC6" w:rsidP="008A7EC6">
      <w:pPr>
        <w:jc w:val="both"/>
        <w:rPr>
          <w:rFonts w:ascii="Times New Roman" w:hAnsi="Times New Roman" w:cs="Times New Roman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2" w:name="_Toc307288325"/>
      <w:bookmarkStart w:id="3" w:name="_Toc307286509"/>
    </w:p>
    <w:p w:rsidR="008A7EC6" w:rsidRDefault="008A7EC6" w:rsidP="008A7EC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8A7EC6" w:rsidRDefault="008A7EC6" w:rsidP="008A7EC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2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3"/>
    <w:p w:rsidR="008A7EC6" w:rsidRDefault="008A7EC6" w:rsidP="008A7EC6">
      <w:pPr>
        <w:rPr>
          <w:i/>
          <w:iCs/>
        </w:rPr>
      </w:pPr>
    </w:p>
    <w:p w:rsidR="008A7EC6" w:rsidRDefault="008A7EC6" w:rsidP="008A7EC6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307288326"/>
      <w:bookmarkStart w:id="5" w:name="_Toc307286510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4"/>
      <w:bookmarkEnd w:id="5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8A7EC6" w:rsidTr="008A7EC6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промежуточного контроля и итоговой аттестации</w:t>
            </w:r>
          </w:p>
        </w:tc>
      </w:tr>
      <w:tr w:rsidR="008A7EC6" w:rsidTr="008A7EC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A7EC6" w:rsidTr="008A7EC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Безопасность жизне</w:t>
            </w:r>
            <w:r w:rsidR="007A2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8A7EC6" w:rsidRDefault="008A7EC6" w:rsidP="008A7EC6">
      <w:pPr>
        <w:jc w:val="both"/>
        <w:rPr>
          <w:i/>
          <w:iCs/>
        </w:rPr>
      </w:pPr>
    </w:p>
    <w:p w:rsidR="008A7EC6" w:rsidRDefault="008A7EC6" w:rsidP="008A7EC6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307288327"/>
      <w:bookmarkStart w:id="7" w:name="_Toc307286511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6"/>
      <w:bookmarkEnd w:id="7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8A7EC6" w:rsidRDefault="008A7EC6" w:rsidP="008A7EC6"/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практических  заданий, а также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изучаемого периода, выполнение индивидуальных заданий исследовательского и творческого характера. 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8A7EC6" w:rsidRDefault="008A7EC6" w:rsidP="008A7EC6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A7EC6" w:rsidRDefault="008A7EC6" w:rsidP="008A7EC6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8A7EC6" w:rsidRDefault="008A7EC6" w:rsidP="008A7EC6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лабораторно-практических занятий</w:t>
      </w:r>
    </w:p>
    <w:p w:rsidR="008A7EC6" w:rsidRDefault="008A7EC6" w:rsidP="008A7EC6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лабораторно-практических занятий производится по пятибалльной шкале: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A7EC6" w:rsidRDefault="008A7EC6" w:rsidP="008A7EC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8A7EC6" w:rsidTr="008A7EC6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A7EC6" w:rsidTr="008A7E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7EC6" w:rsidRDefault="008A7EC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8A7EC6" w:rsidTr="008A7EC6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8A7EC6" w:rsidTr="008A7EC6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8A7EC6" w:rsidTr="008A7EC6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C6" w:rsidRDefault="008A7EC6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8A7EC6" w:rsidTr="008A7EC6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EC6" w:rsidRDefault="008A7EC6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C6" w:rsidRDefault="008A7EC6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8A7EC6" w:rsidRDefault="008A7EC6" w:rsidP="008A7EC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A7EC6" w:rsidRDefault="008A7EC6" w:rsidP="008A7EC6">
      <w:pPr>
        <w:rPr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8A7EC6" w:rsidTr="008A7EC6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Освоенные умения, усвоенные знания</w:t>
            </w:r>
          </w:p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№№ заданий </w:t>
            </w:r>
          </w:p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проверки</w:t>
            </w:r>
          </w:p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...</w:t>
            </w:r>
          </w:p>
        </w:tc>
      </w:tr>
      <w:tr w:rsidR="008A7EC6" w:rsidTr="008A7EC6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7EC6" w:rsidTr="008A7EC6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B03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У1-8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B039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1-10; ПК 1.1-1.8; ПК 2.1-2.6; ПК 3.1-ПК 3.5</w:t>
            </w:r>
          </w:p>
          <w:p w:rsidR="008A7EC6" w:rsidRDefault="008A7E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7EC6" w:rsidRDefault="008A7E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1-12 (Зад. № 1-3);</w:t>
            </w:r>
          </w:p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точка к разделам  в форме тестирования</w:t>
            </w:r>
          </w:p>
        </w:tc>
      </w:tr>
      <w:tr w:rsidR="008A7EC6" w:rsidTr="008A7EC6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B03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1-10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4" w:rsidRDefault="00B03984" w:rsidP="00B039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1-10; ПК 1.1-1.8; ПК 2.1-2.6; ПК 3.1-ПК 3.5</w:t>
            </w:r>
          </w:p>
          <w:p w:rsidR="00B03984" w:rsidRDefault="00B03984" w:rsidP="00B0398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7EC6" w:rsidRDefault="008A7E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7EC6" w:rsidRDefault="008A7E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№1-12 Зад.1-3 (Тест к теме)</w:t>
            </w:r>
          </w:p>
        </w:tc>
      </w:tr>
    </w:tbl>
    <w:p w:rsidR="008A7EC6" w:rsidRDefault="008A7EC6" w:rsidP="008A7EC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7EC6" w:rsidRDefault="008A7EC6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Комплект материалов для оценки уровня освоения умений и знаний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выполнения эвакуационных мероприятий на объектах экономики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Организация, хранение и использование средств индивидуальной защиты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и проведению аварийно-спасательных работ на объектах экономики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основы военной службы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военнослужащих</w:t>
      </w:r>
    </w:p>
    <w:p w:rsidR="000A3912" w:rsidRDefault="000A3912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C4E" w:rsidRDefault="000A3912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7</w:t>
      </w:r>
    </w:p>
    <w:p w:rsidR="000A3912" w:rsidRDefault="000A3912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 при кровотечениях</w:t>
      </w:r>
    </w:p>
    <w:p w:rsidR="000A3912" w:rsidRDefault="000A3912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12" w:rsidRPr="000A3912" w:rsidRDefault="000A3912" w:rsidP="000A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В каком году было создано Министерство Российской Федерации по делам гражданской обороны, чрезвычайным ситуациям и ликвидации последствий стихийных бедствий?</w:t>
      </w:r>
    </w:p>
    <w:p w:rsidR="000A3912" w:rsidRPr="000A3912" w:rsidRDefault="000A3912" w:rsidP="000A3912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в 1961 г.;</w:t>
      </w:r>
    </w:p>
    <w:p w:rsidR="000A3912" w:rsidRPr="000A3912" w:rsidRDefault="000A3912" w:rsidP="000A3912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в 1990 г.;</w:t>
      </w:r>
    </w:p>
    <w:p w:rsidR="000A3912" w:rsidRPr="000A3912" w:rsidRDefault="000A3912" w:rsidP="000A3912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в 1994 г. 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Какие задачи выполняет РСЧС в режиме повседневной деятельности?</w:t>
      </w:r>
    </w:p>
    <w:p w:rsidR="000A3912" w:rsidRPr="000A3912" w:rsidRDefault="000A3912" w:rsidP="000A3912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оперативное управление ходом аварийно-спасательных и других неотложных работ;</w:t>
      </w:r>
    </w:p>
    <w:p w:rsidR="000A3912" w:rsidRPr="000A3912" w:rsidRDefault="000A3912" w:rsidP="000A3912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подготовку к конкретным ЧС и смягчению их последствий;</w:t>
      </w:r>
    </w:p>
    <w:p w:rsidR="000A3912" w:rsidRPr="000A3912" w:rsidRDefault="000A3912" w:rsidP="000A3912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наблюдение и </w:t>
      </w:r>
      <w:proofErr w:type="gramStart"/>
      <w:r w:rsidRPr="000A39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природной среды и потенциально опасных объектов.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Что положено в основу классификации чрезвычайных ситуаций по масштабам?</w:t>
      </w:r>
    </w:p>
    <w:p w:rsidR="000A3912" w:rsidRPr="000A3912" w:rsidRDefault="000A3912" w:rsidP="000A391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сложность обстановки;</w:t>
      </w:r>
    </w:p>
    <w:p w:rsidR="000A3912" w:rsidRPr="000A3912" w:rsidRDefault="000A3912" w:rsidP="000A391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количество пострадавших людей и размеры зон поражения;</w:t>
      </w:r>
    </w:p>
    <w:p w:rsidR="000A3912" w:rsidRPr="000A3912" w:rsidRDefault="000A3912" w:rsidP="000A391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тип и вид событий, лежащих в основе чрезвычайной ситуации;</w:t>
      </w:r>
    </w:p>
    <w:p w:rsidR="000A3912" w:rsidRPr="000A3912" w:rsidRDefault="000A3912" w:rsidP="000A391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20-25%.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стихийное бедствие особо крупных масштабов и с наиболее тяжелыми последствиями, сопровождающееся необратимыми изменениями ландшафта?</w:t>
      </w:r>
    </w:p>
    <w:p w:rsidR="000A3912" w:rsidRPr="000A3912" w:rsidRDefault="000A3912" w:rsidP="000A3912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неблагоприятным природным явлениям;</w:t>
      </w:r>
    </w:p>
    <w:p w:rsidR="000A3912" w:rsidRPr="000A3912" w:rsidRDefault="000A3912" w:rsidP="000A3912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стихийным бедствием;</w:t>
      </w:r>
    </w:p>
    <w:p w:rsidR="000A3912" w:rsidRPr="000A3912" w:rsidRDefault="000A3912" w:rsidP="000A3912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природной катастрофой.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радиационная авария, при которой радиационные последствия ограничиваются одним заданием или сооружением?</w:t>
      </w:r>
    </w:p>
    <w:p w:rsidR="000A3912" w:rsidRPr="000A3912" w:rsidRDefault="000A3912" w:rsidP="000A3912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локальная;</w:t>
      </w:r>
    </w:p>
    <w:p w:rsidR="000A3912" w:rsidRPr="000A3912" w:rsidRDefault="000A3912" w:rsidP="000A3912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местная;</w:t>
      </w:r>
    </w:p>
    <w:p w:rsidR="000A3912" w:rsidRPr="000A3912" w:rsidRDefault="000A3912" w:rsidP="000A3912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региональная.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часть пространства, в котором происходит подготовка горючих веществ к горению (подогрев, испарение, разложение) и их горение?</w:t>
      </w:r>
    </w:p>
    <w:p w:rsidR="000A3912" w:rsidRPr="000A3912" w:rsidRDefault="000A3912" w:rsidP="000A3912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зона горения;</w:t>
      </w:r>
    </w:p>
    <w:p w:rsidR="000A3912" w:rsidRPr="000A3912" w:rsidRDefault="000A3912" w:rsidP="000A3912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зона теплового воздействия;</w:t>
      </w:r>
    </w:p>
    <w:p w:rsidR="000A3912" w:rsidRPr="000A3912" w:rsidRDefault="000A3912" w:rsidP="000A3912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зона задымления.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смещение масс горных пород по склону под воздействием собственного веса и различной дополнительной нагрузки?</w:t>
      </w:r>
    </w:p>
    <w:p w:rsidR="000A3912" w:rsidRPr="000A3912" w:rsidRDefault="000A3912" w:rsidP="000A3912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сель;</w:t>
      </w:r>
    </w:p>
    <w:p w:rsidR="000A3912" w:rsidRPr="000A3912" w:rsidRDefault="000A3912" w:rsidP="000A3912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lastRenderedPageBreak/>
        <w:t>оползень;</w:t>
      </w:r>
    </w:p>
    <w:p w:rsidR="000A3912" w:rsidRPr="000A3912" w:rsidRDefault="000A3912" w:rsidP="000A3912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лавина.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 каким природным явлениям относятся ураганы, бури, смерчи?</w:t>
      </w:r>
    </w:p>
    <w:p w:rsidR="000A3912" w:rsidRPr="000A3912" w:rsidRDefault="000A3912" w:rsidP="000A3912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геофизическим;</w:t>
      </w:r>
    </w:p>
    <w:p w:rsidR="000A3912" w:rsidRPr="000A3912" w:rsidRDefault="000A3912" w:rsidP="000A3912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геологическим;</w:t>
      </w:r>
    </w:p>
    <w:p w:rsidR="000A3912" w:rsidRPr="000A3912" w:rsidRDefault="000A3912" w:rsidP="000A3912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метеорологическим.</w:t>
      </w:r>
    </w:p>
    <w:p w:rsidR="000A3912" w:rsidRPr="000A3912" w:rsidRDefault="000A3912" w:rsidP="000A391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Что представляет собой основной поражающий фактор ядерного взрыва?</w:t>
      </w:r>
    </w:p>
    <w:p w:rsidR="000A3912" w:rsidRPr="000A3912" w:rsidRDefault="000A3912" w:rsidP="000A391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электромагнитный импульс;</w:t>
      </w:r>
    </w:p>
    <w:p w:rsidR="000A3912" w:rsidRPr="000A3912" w:rsidRDefault="000A3912" w:rsidP="000A391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световое излучение;</w:t>
      </w:r>
    </w:p>
    <w:p w:rsidR="000A3912" w:rsidRPr="000A3912" w:rsidRDefault="000A3912" w:rsidP="000A3912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ударную волну.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называются боеприпасы, основным поражающим фактором которых является ударная волна?</w:t>
      </w:r>
    </w:p>
    <w:p w:rsidR="000A3912" w:rsidRPr="000A3912" w:rsidRDefault="000A3912" w:rsidP="000A3912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боеприпасы объемного взрыва;</w:t>
      </w:r>
    </w:p>
    <w:p w:rsidR="000A3912" w:rsidRPr="000A3912" w:rsidRDefault="000A3912" w:rsidP="000A3912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зажигательные боеприпасы.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комплект мероприятий по наблюдению и </w:t>
      </w:r>
      <w:proofErr w:type="gramStart"/>
      <w:r w:rsidRPr="000A391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 и потенциально опасных объектов, прогнозированию и профилактике возникновения чрезвычайных ситуаций (ЧС)?</w:t>
      </w:r>
    </w:p>
    <w:p w:rsidR="000A3912" w:rsidRPr="000A3912" w:rsidRDefault="000A3912" w:rsidP="000A3912">
      <w:pPr>
        <w:numPr>
          <w:ilvl w:val="0"/>
          <w:numId w:val="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предупреждением ЧС;</w:t>
      </w:r>
    </w:p>
    <w:p w:rsidR="000A3912" w:rsidRPr="000A3912" w:rsidRDefault="000A3912" w:rsidP="000A3912">
      <w:pPr>
        <w:numPr>
          <w:ilvl w:val="0"/>
          <w:numId w:val="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предотвращением ЧС.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прогнозирование возможных чрезвычайных ситуаций на несколько месяцев вперед?</w:t>
      </w:r>
    </w:p>
    <w:p w:rsidR="000A3912" w:rsidRPr="000A3912" w:rsidRDefault="000A3912" w:rsidP="000A3912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долгосрочным;</w:t>
      </w:r>
    </w:p>
    <w:p w:rsidR="000A3912" w:rsidRPr="000A3912" w:rsidRDefault="000A3912" w:rsidP="000A3912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среднесрочным;</w:t>
      </w:r>
    </w:p>
    <w:p w:rsidR="000A3912" w:rsidRPr="000A3912" w:rsidRDefault="000A3912" w:rsidP="000A3912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краткосрочным.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 мерам по предупреждению ЧС относится:</w:t>
      </w:r>
    </w:p>
    <w:p w:rsidR="000A3912" w:rsidRPr="000A3912" w:rsidRDefault="000A3912" w:rsidP="000A3912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производственных сил и поселений на территории страны;</w:t>
      </w:r>
    </w:p>
    <w:p w:rsidR="000A3912" w:rsidRPr="000A3912" w:rsidRDefault="000A3912" w:rsidP="000A3912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строительство и использование различных защитных сооружений;</w:t>
      </w:r>
    </w:p>
    <w:p w:rsidR="000A3912" w:rsidRPr="000A3912" w:rsidRDefault="000A3912" w:rsidP="000A3912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создание локальных систем оповещения.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Что понимают под ликвидацией чрезвычайных ситуаций?</w:t>
      </w:r>
    </w:p>
    <w:p w:rsidR="000A3912" w:rsidRPr="000A3912" w:rsidRDefault="000A3912" w:rsidP="000A3912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аварийно – спасательные и другие неотложные работы, </w:t>
      </w:r>
      <w:proofErr w:type="spellStart"/>
      <w:r w:rsidRPr="000A3912">
        <w:rPr>
          <w:rFonts w:ascii="Times New Roman" w:eastAsia="Times New Roman" w:hAnsi="Times New Roman" w:cs="Times New Roman"/>
          <w:sz w:val="28"/>
          <w:szCs w:val="28"/>
        </w:rPr>
        <w:t>проводящиеся</w:t>
      </w:r>
      <w:proofErr w:type="spellEnd"/>
      <w:r w:rsidRPr="000A3912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чрезвычайной ситуации;</w:t>
      </w:r>
    </w:p>
    <w:p w:rsidR="000A3912" w:rsidRPr="000A3912" w:rsidRDefault="000A3912" w:rsidP="000A3912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заблаговременную подготовку сил и средств РСЧС к действиям при угрозе и возникновении чрезвычайной ситуации;</w:t>
      </w:r>
    </w:p>
    <w:p w:rsidR="000A3912" w:rsidRPr="000A3912" w:rsidRDefault="000A3912" w:rsidP="000A3912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и финансовых резервов для жизнеобеспечения населения в условиях чрезвычайной ситуации.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совокупность органов управления, сил и средств, предназначенных для решения конкретных задач по предупреждению и ликвидации чрезвычайных ситуаций?</w:t>
      </w:r>
    </w:p>
    <w:p w:rsidR="000A3912" w:rsidRPr="000A3912" w:rsidRDefault="000A3912" w:rsidP="000A3912">
      <w:pPr>
        <w:numPr>
          <w:ilvl w:val="0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гражданскими организациями ГО;</w:t>
      </w:r>
    </w:p>
    <w:p w:rsidR="000A3912" w:rsidRPr="000A3912" w:rsidRDefault="000A3912" w:rsidP="000A3912">
      <w:pPr>
        <w:numPr>
          <w:ilvl w:val="0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аварийно-спасательными формированиями;</w:t>
      </w:r>
    </w:p>
    <w:p w:rsidR="000A3912" w:rsidRPr="000A3912" w:rsidRDefault="000A3912" w:rsidP="000A3912">
      <w:pPr>
        <w:numPr>
          <w:ilvl w:val="0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аварийно-спасательной службой.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Когда чрезвычайная ситуация считается ликвидированной?</w:t>
      </w:r>
    </w:p>
    <w:p w:rsidR="000A3912" w:rsidRPr="000A3912" w:rsidRDefault="000A3912" w:rsidP="000A3912">
      <w:pPr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снижена до приемлемого уровня угроза жизни и здоровью людей;</w:t>
      </w:r>
    </w:p>
    <w:p w:rsidR="000A3912" w:rsidRPr="000A3912" w:rsidRDefault="000A3912" w:rsidP="000A3912">
      <w:pPr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устранена непосредственная угроза жизни и здоровью людей, локализовано воздействие поражающих факторов, организованно первоочередное жизнеобеспечение людей;</w:t>
      </w:r>
    </w:p>
    <w:p w:rsidR="000A3912" w:rsidRPr="000A3912" w:rsidRDefault="000A3912" w:rsidP="000A3912">
      <w:pPr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подавлено воздействие поражающих факторов, организованно первоочередное жизнеобеспечение людей.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организуется разведка при чрезвычайной ситуации?</w:t>
      </w:r>
    </w:p>
    <w:p w:rsidR="000A3912" w:rsidRPr="000A3912" w:rsidRDefault="000A3912" w:rsidP="000A3912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проводится перед началом аварийно-спасательных и других неотложных работ для выявления обстановки в ходе чрезвычайной ситуации;</w:t>
      </w:r>
    </w:p>
    <w:p w:rsidR="000A3912" w:rsidRPr="000A3912" w:rsidRDefault="000A3912" w:rsidP="000A3912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организуется и ведется непрерывно, вплоть до полного завершения работ.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Какая организация осуществляет общее наблюдение за состоянием окружающей среды?</w:t>
      </w:r>
    </w:p>
    <w:p w:rsidR="000A3912" w:rsidRPr="000A3912" w:rsidRDefault="000A3912" w:rsidP="000A3912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Росгидромет;</w:t>
      </w:r>
    </w:p>
    <w:p w:rsidR="000A3912" w:rsidRPr="000A3912" w:rsidRDefault="000A3912" w:rsidP="000A3912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Министерство природных ресурсов РФ;</w:t>
      </w:r>
    </w:p>
    <w:p w:rsidR="000A3912" w:rsidRPr="000A3912" w:rsidRDefault="000A3912" w:rsidP="000A3912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РФ;</w:t>
      </w:r>
    </w:p>
    <w:p w:rsidR="000A3912" w:rsidRPr="000A3912" w:rsidRDefault="000A3912" w:rsidP="000A3912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Министерство РФ по атомной энергии.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 какому виду экономического ущерба относятся расходы на приобретение необходимых медикаментов и оборудования в процессе ликвидации последствий аварии, катастроф и стихийных бедствий?</w:t>
      </w:r>
    </w:p>
    <w:p w:rsidR="000A3912" w:rsidRPr="000A3912" w:rsidRDefault="000A3912" w:rsidP="000A3912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 косвенному;</w:t>
      </w:r>
    </w:p>
    <w:p w:rsidR="000A3912" w:rsidRPr="000A3912" w:rsidRDefault="000A3912" w:rsidP="000A3912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 прямому.</w:t>
      </w:r>
    </w:p>
    <w:p w:rsidR="000A3912" w:rsidRPr="000A3912" w:rsidRDefault="000A3912" w:rsidP="000A391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Как называется покрытие затрат общественных ресурсов на предупреждение и ликвидацию чрезвычайной ситуации?</w:t>
      </w:r>
    </w:p>
    <w:p w:rsidR="000A3912" w:rsidRPr="000A3912" w:rsidRDefault="000A3912" w:rsidP="000A3912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материальным обеспечением;</w:t>
      </w:r>
    </w:p>
    <w:p w:rsidR="000A3912" w:rsidRPr="000A3912" w:rsidRDefault="000A3912" w:rsidP="000A3912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жизнеобеспечением;</w:t>
      </w:r>
    </w:p>
    <w:p w:rsidR="000A3912" w:rsidRPr="000A3912" w:rsidRDefault="000A3912" w:rsidP="000A3912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техническим обеспечением;</w:t>
      </w:r>
    </w:p>
    <w:p w:rsidR="000A3912" w:rsidRPr="000A3912" w:rsidRDefault="000A3912" w:rsidP="000A3912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12">
        <w:rPr>
          <w:rFonts w:ascii="Times New Roman" w:eastAsia="Times New Roman" w:hAnsi="Times New Roman" w:cs="Times New Roman"/>
          <w:sz w:val="28"/>
          <w:szCs w:val="28"/>
        </w:rPr>
        <w:t>финансовым обеспечением.</w:t>
      </w:r>
    </w:p>
    <w:p w:rsidR="006F0C4E" w:rsidRDefault="006F0C4E" w:rsidP="008A7E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8A7EC6" w:rsidRDefault="008A7EC6" w:rsidP="008A7E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8A7EC6" w:rsidTr="008A7EC6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по дисциплине</w:t>
            </w:r>
          </w:p>
        </w:tc>
      </w:tr>
      <w:tr w:rsidR="008A7EC6" w:rsidTr="006F0C4E"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6" w:rsidRDefault="008A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ситуационных задач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  <w:tr w:rsidR="008A7EC6" w:rsidTr="008A7EC6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EC6" w:rsidTr="008A7E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У1</w:t>
            </w:r>
            <w:r w:rsidR="006F0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EC6" w:rsidTr="008A7E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З1</w:t>
            </w:r>
            <w:r w:rsidR="006F0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6" w:rsidRDefault="008A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EC6" w:rsidRDefault="008A7EC6" w:rsidP="008A7EC6">
      <w:pPr>
        <w:rPr>
          <w:rFonts w:ascii="Times New Roman" w:hAnsi="Times New Roman" w:cs="Times New Roman"/>
          <w:sz w:val="28"/>
          <w:szCs w:val="28"/>
        </w:rPr>
      </w:pPr>
    </w:p>
    <w:p w:rsidR="008A7EC6" w:rsidRDefault="008A7EC6" w:rsidP="008A7EC6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C6" w:rsidRDefault="008A7EC6" w:rsidP="008A7EC6"/>
    <w:p w:rsidR="008A7EC6" w:rsidRDefault="008A7EC6" w:rsidP="008A7EC6"/>
    <w:p w:rsidR="000A09DE" w:rsidRDefault="000A09DE"/>
    <w:sectPr w:rsidR="000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B66"/>
    <w:multiLevelType w:val="hybridMultilevel"/>
    <w:tmpl w:val="9D762B50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8CB784F"/>
    <w:multiLevelType w:val="hybridMultilevel"/>
    <w:tmpl w:val="A26200E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6F15C9"/>
    <w:multiLevelType w:val="hybridMultilevel"/>
    <w:tmpl w:val="DEDE9DB2"/>
    <w:lvl w:ilvl="0" w:tplc="04190017">
      <w:start w:val="1"/>
      <w:numFmt w:val="lowerLetter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6E90"/>
    <w:multiLevelType w:val="hybridMultilevel"/>
    <w:tmpl w:val="B48CE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41BF5"/>
    <w:multiLevelType w:val="hybridMultilevel"/>
    <w:tmpl w:val="9EE09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56E"/>
    <w:multiLevelType w:val="hybridMultilevel"/>
    <w:tmpl w:val="6E2C000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C11270"/>
    <w:multiLevelType w:val="hybridMultilevel"/>
    <w:tmpl w:val="0E4CD8B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9B390B"/>
    <w:multiLevelType w:val="hybridMultilevel"/>
    <w:tmpl w:val="186E913C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3602"/>
    <w:multiLevelType w:val="hybridMultilevel"/>
    <w:tmpl w:val="71B6AFE4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3D7F"/>
    <w:multiLevelType w:val="hybridMultilevel"/>
    <w:tmpl w:val="F0548B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7EDD"/>
    <w:multiLevelType w:val="hybridMultilevel"/>
    <w:tmpl w:val="8378082E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A38"/>
    <w:multiLevelType w:val="hybridMultilevel"/>
    <w:tmpl w:val="B95A4AD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ECD726D"/>
    <w:multiLevelType w:val="hybridMultilevel"/>
    <w:tmpl w:val="34D07776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3A99"/>
    <w:multiLevelType w:val="hybridMultilevel"/>
    <w:tmpl w:val="629EB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1B64AA"/>
    <w:multiLevelType w:val="hybridMultilevel"/>
    <w:tmpl w:val="2AEE4FD8"/>
    <w:lvl w:ilvl="0" w:tplc="04190017">
      <w:start w:val="1"/>
      <w:numFmt w:val="lowerLetter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B74D6"/>
    <w:multiLevelType w:val="hybridMultilevel"/>
    <w:tmpl w:val="0D385FC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312B8B"/>
    <w:multiLevelType w:val="hybridMultilevel"/>
    <w:tmpl w:val="6B041A1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972272"/>
    <w:multiLevelType w:val="hybridMultilevel"/>
    <w:tmpl w:val="59FEF4B6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0">
    <w:nsid w:val="6C776646"/>
    <w:multiLevelType w:val="hybridMultilevel"/>
    <w:tmpl w:val="9FC6E80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E11FD1"/>
    <w:multiLevelType w:val="hybridMultilevel"/>
    <w:tmpl w:val="9500C196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4AB0"/>
    <w:multiLevelType w:val="hybridMultilevel"/>
    <w:tmpl w:val="FC143BB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B24EE"/>
    <w:multiLevelType w:val="hybridMultilevel"/>
    <w:tmpl w:val="0400F6F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4A277D"/>
    <w:multiLevelType w:val="hybridMultilevel"/>
    <w:tmpl w:val="3D6A9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5"/>
  </w:num>
  <w:num w:numId="5">
    <w:abstractNumId w:val="22"/>
  </w:num>
  <w:num w:numId="6">
    <w:abstractNumId w:val="13"/>
  </w:num>
  <w:num w:numId="7">
    <w:abstractNumId w:val="4"/>
  </w:num>
  <w:num w:numId="8">
    <w:abstractNumId w:val="18"/>
  </w:num>
  <w:num w:numId="9">
    <w:abstractNumId w:val="24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21"/>
  </w:num>
  <w:num w:numId="15">
    <w:abstractNumId w:val="0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  <w:num w:numId="20">
    <w:abstractNumId w:val="7"/>
  </w:num>
  <w:num w:numId="21">
    <w:abstractNumId w:val="2"/>
  </w:num>
  <w:num w:numId="22">
    <w:abstractNumId w:val="8"/>
  </w:num>
  <w:num w:numId="23">
    <w:abstractNumId w:val="2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7"/>
    <w:rsid w:val="000A09DE"/>
    <w:rsid w:val="000A3912"/>
    <w:rsid w:val="00503CAF"/>
    <w:rsid w:val="005F5E57"/>
    <w:rsid w:val="006F0C4E"/>
    <w:rsid w:val="007253AB"/>
    <w:rsid w:val="007A2DCB"/>
    <w:rsid w:val="008A7EC6"/>
    <w:rsid w:val="0090278E"/>
    <w:rsid w:val="00B03984"/>
    <w:rsid w:val="00B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A7E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EC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A7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EC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7EC6"/>
    <w:pPr>
      <w:ind w:left="720"/>
      <w:contextualSpacing/>
    </w:pPr>
  </w:style>
  <w:style w:type="paragraph" w:customStyle="1" w:styleId="1">
    <w:name w:val="Обычный1"/>
    <w:rsid w:val="008A7EC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A7E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EC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A7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EC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7EC6"/>
    <w:pPr>
      <w:ind w:left="720"/>
      <w:contextualSpacing/>
    </w:pPr>
  </w:style>
  <w:style w:type="paragraph" w:customStyle="1" w:styleId="1">
    <w:name w:val="Обычный1"/>
    <w:rsid w:val="008A7EC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2018-03-21T05:01:00Z</dcterms:created>
  <dcterms:modified xsi:type="dcterms:W3CDTF">2020-09-29T02:23:00Z</dcterms:modified>
</cp:coreProperties>
</file>